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W w:w="901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0"/>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48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一级分类</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例：人工关节</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广州中医药大学第三附属医院神经外科医用耗材公开遴选目录</w:t>
      </w:r>
      <w:bookmarkStart w:id="0" w:name="_GoBack"/>
      <w:bookmarkEnd w:id="0"/>
      <w:r>
        <w:rPr>
          <w:rFonts w:hint="eastAsia" w:ascii="仿宋_GB2312" w:hAnsi="宋体" w:eastAsia="仿宋_GB2312"/>
          <w:bCs/>
          <w:sz w:val="32"/>
          <w:szCs w:val="32"/>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sz w:val="32"/>
          <w:szCs w:val="32"/>
        </w:rPr>
        <w:t>每项产品原则上至少提供三张三甲医院发票。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20</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4EF1CE7"/>
    <w:rsid w:val="0D9B23B9"/>
    <w:rsid w:val="0ED53EBC"/>
    <w:rsid w:val="0FA81756"/>
    <w:rsid w:val="10127627"/>
    <w:rsid w:val="10BB314E"/>
    <w:rsid w:val="18330A4F"/>
    <w:rsid w:val="22435E3E"/>
    <w:rsid w:val="2B550E98"/>
    <w:rsid w:val="2BD05317"/>
    <w:rsid w:val="33C93967"/>
    <w:rsid w:val="35250D09"/>
    <w:rsid w:val="3C9879F3"/>
    <w:rsid w:val="45A41082"/>
    <w:rsid w:val="47590537"/>
    <w:rsid w:val="4961142D"/>
    <w:rsid w:val="4CF733DF"/>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3194</Words>
  <Characters>3311</Characters>
  <Lines>3</Lines>
  <Paragraphs>3</Paragraphs>
  <TotalTime>25</TotalTime>
  <ScaleCrop>false</ScaleCrop>
  <LinksUpToDate>false</LinksUpToDate>
  <CharactersWithSpaces>3908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郭紫妍</cp:lastModifiedBy>
  <cp:lastPrinted>2021-12-27T01:42:00Z</cp:lastPrinted>
  <dcterms:modified xsi:type="dcterms:W3CDTF">2022-05-10T07:18:01Z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0FD5449749E6402D9AB5B00167ACA1C0</vt:lpwstr>
  </property>
  <property fmtid="{D5CDD505-2E9C-101B-9397-08002B2CF9AE}" pid="4" name="commondata">
    <vt:lpwstr>eyJoZGlkIjoiOGM4MWU0ZDNkZDIxZWM5MGU2NTI1YWQ1MGQ0M2JiY2EifQ==</vt:lpwstr>
  </property>
</Properties>
</file>